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Default="009A4FA8" w:rsidP="009A4FA8">
      <w:pPr>
        <w:spacing w:after="0" w:line="240" w:lineRule="auto"/>
        <w:rPr>
          <w:rFonts w:ascii="Times New Roman" w:eastAsia="Times New Roman" w:hAnsi="Times New Roman" w:cs="Times New Roman"/>
          <w:color w:val="000000"/>
          <w:sz w:val="24"/>
          <w:szCs w:val="24"/>
          <w:lang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9A4FA8" w:rsidRDefault="00627BF7"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B2513" w:rsidRDefault="009B2513" w:rsidP="009B2513">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Tu dalej sie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która mogła by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komputerów w jakiej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ISO Open Systems Interconnection Reference Model</w:t>
      </w:r>
      <w:r w:rsidRPr="006210E6">
        <w:rPr>
          <w:rFonts w:ascii="Times New Roman" w:hAnsi="Times New Roman" w:cs="Times New Roman"/>
          <w:sz w:val="24"/>
          <w:szCs w:val="24"/>
        </w:rPr>
        <w:t>)</w:t>
      </w:r>
      <w:r>
        <w:rPr>
          <w:rFonts w:ascii="Times New Roman" w:hAnsi="Times New Roman" w:cs="Times New Roman"/>
          <w:sz w:val="24"/>
          <w:szCs w:val="24"/>
        </w:rPr>
        <w:t xml:space="preserve"> czyli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miejsca w których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Z pomocą w wykoniu tego celu wkroczyła koncepcja sieci programowalnych czyli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stawiona zostanie wirtualna sieć komputerowa typu SDN pozwalacjąca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RIP,OSPF,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8D0160">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2</w:t>
      </w:r>
      <w:r>
        <w:fldChar w:fldCharType="end"/>
      </w:r>
      <w:r>
        <w:t>: Zcentralizowany kontroler zarządzający warstwą control plane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Open Virtual Switch</w:t>
      </w:r>
      <w:r>
        <w:rPr>
          <w:rFonts w:ascii="Times New Roman" w:hAnsi="Times New Roman" w:cs="Times New Roman"/>
          <w:sz w:val="24"/>
          <w:szCs w:val="24"/>
        </w:rPr>
        <w:t xml:space="preserve">) czyli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dostosowany aby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NetFlow, Sflow, </w:t>
      </w:r>
      <w:r w:rsidR="00355EBF" w:rsidRPr="00355EBF">
        <w:rPr>
          <w:rFonts w:ascii="Times New Roman" w:hAnsi="Times New Roman" w:cs="Times New Roman"/>
          <w:sz w:val="24"/>
          <w:szCs w:val="24"/>
        </w:rPr>
        <w:t>IPFIX, RSPAN, CLI,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3</w:t>
      </w:r>
      <w:r>
        <w:fldChar w:fldCharType="end"/>
      </w:r>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regół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Warto tutaj wspomieć, że kontrolery SDN komunikują się z urządzeniami zarządzanymi nie tylko 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r>
        <w:rPr>
          <w:rFonts w:ascii="Times New Roman" w:hAnsi="Times New Roman" w:cs="Times New Roman"/>
          <w:sz w:val="24"/>
          <w:szCs w:val="24"/>
        </w:rPr>
        <w:lastRenderedPageBreak/>
        <w:t>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4</w:t>
      </w:r>
      <w:r>
        <w:fldChar w:fldCharType="end"/>
      </w:r>
      <w:r>
        <w:t>: Podstawowe komponenty OpenFlow [4].</w:t>
      </w:r>
    </w:p>
    <w:p w:rsidR="008D0160" w:rsidRDefault="008D0160"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--OpenFlow strona 7--</w:t>
      </w:r>
    </w:p>
    <w:p w:rsidR="009A249C" w:rsidRPr="00A45A7B" w:rsidRDefault="001A2D75"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Więcej właśniwości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wspomiane,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Został on stworzony wraz z stworzeniem wirtualnych przełączników OVS jako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tu wkracza OVSDB. Za jego pomocą można dodawać, modyfikować i usuwać wirtualne 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 xml:space="preserve">openvswitch.ko </w:t>
      </w:r>
      <w:r w:rsidR="000A10A0">
        <w:rPr>
          <w:rFonts w:ascii="Times New Roman" w:hAnsi="Times New Roman" w:cs="Times New Roman"/>
          <w:sz w:val="24"/>
          <w:szCs w:val="24"/>
        </w:rPr>
        <w:t>czyli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lastRenderedPageBreak/>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fldChar w:fldCharType="begin"/>
      </w:r>
      <w:r>
        <w:instrText xml:space="preserve"> SEQ Rysunek \* ARABIC </w:instrText>
      </w:r>
      <w:r>
        <w:fldChar w:fldCharType="separate"/>
      </w:r>
      <w:r w:rsidR="008D0160">
        <w:rPr>
          <w:noProof/>
        </w:rPr>
        <w:t>5</w:t>
      </w:r>
      <w:r>
        <w:fldChar w:fldCharType="end"/>
      </w:r>
      <w:r>
        <w:t>: Interfejsy przełącznika OVS [6]</w:t>
      </w:r>
    </w:p>
    <w:p w:rsidR="00D863F2" w:rsidRDefault="00B5749F"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E-Line – usługa definiująca bezpośrednie połaczeniem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627BF7" w:rsidRPr="00627BF7" w:rsidRDefault="00627BF7" w:rsidP="00850FF2">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OpenFlow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kolejnym punkcie.</w:t>
      </w:r>
    </w:p>
    <w:p w:rsidR="00627BF7" w:rsidRDefault="00627BF7" w:rsidP="00627BF7">
      <w:pPr>
        <w:pStyle w:val="ListParagraph"/>
        <w:spacing w:after="0" w:line="240" w:lineRule="auto"/>
        <w:ind w:left="360"/>
        <w:rPr>
          <w:rFonts w:ascii="Times New Roman" w:hAnsi="Times New Roman" w:cs="Times New Roman"/>
          <w:b/>
          <w:sz w:val="24"/>
          <w:szCs w:val="24"/>
        </w:rPr>
      </w:pPr>
    </w:p>
    <w:p w:rsidR="00FE12E7" w:rsidRDefault="005600BC" w:rsidP="00627BF7">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FE12E7" w:rsidRDefault="00FE12E7" w:rsidP="00D863F2">
      <w:pPr>
        <w:pStyle w:val="ListParagraph"/>
        <w:spacing w:after="0" w:line="240" w:lineRule="auto"/>
        <w:ind w:left="792"/>
        <w:rPr>
          <w:rFonts w:ascii="Times New Roman" w:hAnsi="Times New Roman" w:cs="Times New Roman"/>
          <w:b/>
          <w:sz w:val="24"/>
          <w:szCs w:val="24"/>
        </w:rPr>
      </w:pPr>
    </w:p>
    <w:p w:rsidR="00627BF7" w:rsidRPr="000A4404" w:rsidRDefault="00FE12E7" w:rsidP="00D863F2">
      <w:pPr>
        <w:spacing w:after="0" w:line="240" w:lineRule="auto"/>
        <w:ind w:left="360" w:firstLine="432"/>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względem których nastąpi zestawienie. W tej pracy kryteriami porównania są atrybuty usług zdefiniowanych przez standard CarrierEthernet 2.0 MEF. Wybrane atrybuty </w:t>
      </w:r>
      <w:r w:rsidR="00850FF2">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sidR="00627BF7" w:rsidRPr="000A4404">
        <w:rPr>
          <w:rFonts w:ascii="Times New Roman" w:hAnsi="Times New Roman" w:cs="Times New Roman"/>
          <w:b/>
          <w:sz w:val="24"/>
          <w:szCs w:val="24"/>
        </w:rPr>
        <w:br/>
      </w:r>
    </w:p>
    <w:p w:rsidR="000A4404" w:rsidRDefault="00FE12E7" w:rsidP="000A44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0A4404" w:rsidRDefault="000A4404" w:rsidP="000A4404">
      <w:pPr>
        <w:pStyle w:val="ListParagraph"/>
        <w:spacing w:after="0" w:line="240" w:lineRule="auto"/>
        <w:ind w:left="1224"/>
        <w:rPr>
          <w:rFonts w:ascii="Times New Roman" w:hAnsi="Times New Roman" w:cs="Times New Roman"/>
          <w:b/>
          <w:sz w:val="24"/>
          <w:szCs w:val="24"/>
        </w:rPr>
      </w:pPr>
    </w:p>
    <w:p w:rsidR="00FE12E7" w:rsidRDefault="000A4404" w:rsidP="00850FF2">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Pr>
          <w:rFonts w:ascii="Times New Roman" w:hAnsi="Times New Roman" w:cs="Times New Roman"/>
          <w:sz w:val="24"/>
          <w:szCs w:val="24"/>
        </w:rPr>
        <w:lastRenderedPageBreak/>
        <w:t>wymaga aby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w:t>
      </w:r>
      <w:r w:rsidR="009A657C">
        <w:rPr>
          <w:rFonts w:ascii="Times New Roman" w:hAnsi="Times New Roman" w:cs="Times New Roman"/>
          <w:sz w:val="24"/>
          <w:szCs w:val="24"/>
        </w:rPr>
        <w:t xml:space="preserve"> była zgodna ze standardem IEEE 802.3 [7].</w:t>
      </w:r>
    </w:p>
    <w:p w:rsidR="00850FF2" w:rsidRDefault="009A657C" w:rsidP="00850FF2">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MEF definiuje ramkę danych jako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xml:space="preserve">), lecz nie zawiera komponentów ramki z warstwy pierwszej. Opisana ramka znajduję się na rysunku </w:t>
      </w:r>
      <w:r w:rsidR="00850FF2">
        <w:rPr>
          <w:rFonts w:ascii="Times New Roman" w:hAnsi="Times New Roman" w:cs="Times New Roman"/>
          <w:sz w:val="24"/>
          <w:szCs w:val="24"/>
        </w:rPr>
        <w:t>numer 7.</w:t>
      </w:r>
    </w:p>
    <w:p w:rsidR="00850FF2" w:rsidRDefault="00850FF2" w:rsidP="000A4404">
      <w:pPr>
        <w:spacing w:after="0" w:line="240" w:lineRule="auto"/>
        <w:ind w:left="708" w:firstLine="516"/>
        <w:rPr>
          <w:rFonts w:ascii="Times New Roman" w:hAnsi="Times New Roman" w:cs="Times New Roman"/>
          <w:sz w:val="24"/>
          <w:szCs w:val="24"/>
        </w:rPr>
      </w:pPr>
    </w:p>
    <w:p w:rsidR="00850FF2" w:rsidRDefault="00850FF2" w:rsidP="000A4404">
      <w:pPr>
        <w:spacing w:after="0" w:line="240" w:lineRule="auto"/>
        <w:ind w:left="708" w:firstLine="516"/>
        <w:rPr>
          <w:rFonts w:ascii="Times New Roman" w:hAnsi="Times New Roman" w:cs="Times New Roman"/>
          <w:sz w:val="24"/>
          <w:szCs w:val="24"/>
        </w:rPr>
      </w:pPr>
    </w:p>
    <w:p w:rsidR="00A66647" w:rsidRDefault="00A66647" w:rsidP="00A66647">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24159A" w:rsidRDefault="00A66647" w:rsidP="00A66647">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7</w:t>
      </w:r>
      <w:r>
        <w:fldChar w:fldCharType="end"/>
      </w:r>
      <w:r>
        <w:t>: Ramka usługi [7]</w:t>
      </w:r>
    </w:p>
    <w:p w:rsidR="008D0160" w:rsidRDefault="008D0160" w:rsidP="000A440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r w:rsidR="00850FF2">
        <w:rPr>
          <w:rFonts w:ascii="Times New Roman" w:hAnsi="Times New Roman" w:cs="Times New Roman"/>
          <w:sz w:val="24"/>
          <w:szCs w:val="24"/>
        </w:rPr>
        <w:t>—</w:t>
      </w:r>
    </w:p>
    <w:p w:rsidR="00850FF2" w:rsidRDefault="00850FF2" w:rsidP="000A4404">
      <w:pPr>
        <w:spacing w:after="0" w:line="240" w:lineRule="auto"/>
        <w:ind w:left="708" w:firstLine="516"/>
        <w:rPr>
          <w:rFonts w:ascii="Times New Roman" w:hAnsi="Times New Roman" w:cs="Times New Roman"/>
          <w:sz w:val="24"/>
          <w:szCs w:val="24"/>
        </w:rPr>
      </w:pPr>
    </w:p>
    <w:p w:rsidR="0024159A" w:rsidRDefault="0024159A" w:rsidP="00850FF2">
      <w:pPr>
        <w:spacing w:after="0" w:line="240" w:lineRule="auto"/>
        <w:ind w:left="1224"/>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w:t>
      </w:r>
      <w:r w:rsidR="00140449">
        <w:rPr>
          <w:rFonts w:ascii="Times New Roman" w:hAnsi="Times New Roman" w:cs="Times New Roman"/>
          <w:sz w:val="24"/>
          <w:szCs w:val="24"/>
        </w:rPr>
        <w:t xml:space="preserve"> (</w:t>
      </w:r>
      <w:r w:rsidR="00140449">
        <w:rPr>
          <w:rFonts w:ascii="Times New Roman" w:hAnsi="Times New Roman" w:cs="Times New Roman"/>
          <w:i/>
          <w:sz w:val="24"/>
          <w:szCs w:val="24"/>
        </w:rPr>
        <w:t>Customer TAG</w:t>
      </w:r>
      <w:r w:rsidR="00140449">
        <w:rPr>
          <w:rFonts w:ascii="Times New Roman" w:hAnsi="Times New Roman" w:cs="Times New Roman"/>
          <w:sz w:val="24"/>
          <w:szCs w:val="24"/>
        </w:rPr>
        <w:t>)</w:t>
      </w:r>
      <w:r>
        <w:rPr>
          <w:rFonts w:ascii="Times New Roman" w:hAnsi="Times New Roman" w:cs="Times New Roman"/>
          <w:sz w:val="24"/>
          <w:szCs w:val="24"/>
        </w:rPr>
        <w:t xml:space="preserve">. </w:t>
      </w:r>
      <w:r w:rsidR="008D4165">
        <w:rPr>
          <w:rFonts w:ascii="Times New Roman" w:hAnsi="Times New Roman" w:cs="Times New Roman"/>
          <w:sz w:val="24"/>
          <w:szCs w:val="24"/>
        </w:rPr>
        <w:t>Pole to zajmuje 4 bajty i składa się z następujących pól:</w:t>
      </w:r>
    </w:p>
    <w:p w:rsidR="008D4165" w:rsidRDefault="008D4165" w:rsidP="00850FF2">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8D4165" w:rsidRDefault="008D4165" w:rsidP="00850FF2">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8D4165" w:rsidRDefault="008D4165" w:rsidP="00850FF2">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8D4165" w:rsidRDefault="008D4165" w:rsidP="00850FF2">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xml:space="preserve">) </w:t>
      </w:r>
      <w:r w:rsidR="00140449">
        <w:rPr>
          <w:rFonts w:ascii="Times New Roman" w:hAnsi="Times New Roman" w:cs="Times New Roman"/>
          <w:sz w:val="24"/>
          <w:szCs w:val="24"/>
        </w:rPr>
        <w:t>–</w:t>
      </w:r>
      <w:r>
        <w:rPr>
          <w:rFonts w:ascii="Times New Roman" w:hAnsi="Times New Roman" w:cs="Times New Roman"/>
          <w:sz w:val="24"/>
          <w:szCs w:val="24"/>
        </w:rPr>
        <w:t xml:space="preserve"> </w:t>
      </w:r>
      <w:r w:rsidR="00140449">
        <w:rPr>
          <w:rFonts w:ascii="Times New Roman" w:hAnsi="Times New Roman" w:cs="Times New Roman"/>
          <w:sz w:val="24"/>
          <w:szCs w:val="24"/>
        </w:rPr>
        <w:t>1 bit mówiący czy ramka nadaje się do odrzucenia czy nie,</w:t>
      </w:r>
    </w:p>
    <w:p w:rsidR="008D4165" w:rsidRPr="00140449" w:rsidRDefault="00140449" w:rsidP="00850FF2">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24159A" w:rsidRDefault="0024159A" w:rsidP="00140449">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24159A" w:rsidRPr="0024159A" w:rsidRDefault="0024159A" w:rsidP="0024159A">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24159A" w:rsidRDefault="00140449" w:rsidP="0024159A">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140449" w:rsidRDefault="00140449" w:rsidP="0024159A">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850FF2" w:rsidRDefault="00850FF2" w:rsidP="00690CF3">
      <w:pPr>
        <w:spacing w:after="0" w:line="240" w:lineRule="auto"/>
        <w:ind w:left="708" w:firstLine="516"/>
        <w:rPr>
          <w:rFonts w:ascii="Times New Roman" w:hAnsi="Times New Roman" w:cs="Times New Roman"/>
          <w:sz w:val="24"/>
          <w:szCs w:val="24"/>
        </w:rPr>
      </w:pPr>
    </w:p>
    <w:p w:rsidR="00690CF3" w:rsidRDefault="00140449" w:rsidP="00850FF2">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w:t>
      </w:r>
      <w:r w:rsidR="00690CF3">
        <w:rPr>
          <w:rFonts w:ascii="Times New Roman" w:hAnsi="Times New Roman" w:cs="Times New Roman"/>
          <w:sz w:val="24"/>
          <w:szCs w:val="24"/>
        </w:rPr>
        <w:t xml:space="preserve">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wzglęgu </w:t>
      </w:r>
      <w:r w:rsidR="00850FF2">
        <w:rPr>
          <w:rFonts w:ascii="Times New Roman" w:hAnsi="Times New Roman" w:cs="Times New Roman"/>
          <w:sz w:val="24"/>
          <w:szCs w:val="24"/>
        </w:rPr>
        <w:br/>
      </w:r>
      <w:r w:rsidR="00690CF3">
        <w:rPr>
          <w:rFonts w:ascii="Times New Roman" w:hAnsi="Times New Roman" w:cs="Times New Roman"/>
          <w:sz w:val="24"/>
          <w:szCs w:val="24"/>
        </w:rPr>
        <w:t>na pole TPID</w:t>
      </w:r>
      <w:r w:rsidR="001E6E60">
        <w:rPr>
          <w:rFonts w:ascii="Times New Roman" w:hAnsi="Times New Roman" w:cs="Times New Roman"/>
          <w:sz w:val="24"/>
          <w:szCs w:val="24"/>
        </w:rPr>
        <w:t xml:space="preserve"> [7]</w:t>
      </w:r>
      <w:r w:rsidR="00690CF3">
        <w:rPr>
          <w:rFonts w:ascii="Times New Roman" w:hAnsi="Times New Roman" w:cs="Times New Roman"/>
          <w:sz w:val="24"/>
          <w:szCs w:val="24"/>
        </w:rPr>
        <w:t>.</w:t>
      </w:r>
    </w:p>
    <w:p w:rsidR="00A66647" w:rsidRDefault="00A66647" w:rsidP="00A66647">
      <w:pPr>
        <w:keepNext/>
        <w:spacing w:after="0" w:line="240" w:lineRule="auto"/>
        <w:ind w:left="708" w:firstLine="516"/>
      </w:pPr>
      <w:r>
        <w:rPr>
          <w:noProof/>
          <w:lang w:eastAsia="pl-PL"/>
        </w:rPr>
        <w:lastRenderedPageBreak/>
        <w:drawing>
          <wp:inline distT="0" distB="0" distL="0" distR="0" wp14:anchorId="181480EC" wp14:editId="65A2909C">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A66647" w:rsidRDefault="00A66647" w:rsidP="00A66647">
      <w:pPr>
        <w:pStyle w:val="Caption"/>
        <w:jc w:val="center"/>
      </w:pPr>
      <w:r>
        <w:t xml:space="preserve">Rysunek </w:t>
      </w:r>
      <w:r>
        <w:fldChar w:fldCharType="begin"/>
      </w:r>
      <w:r>
        <w:instrText xml:space="preserve"> SEQ Rysunek \* ARABIC </w:instrText>
      </w:r>
      <w:r>
        <w:fldChar w:fldCharType="separate"/>
      </w:r>
      <w:r w:rsidR="008D0160">
        <w:rPr>
          <w:noProof/>
        </w:rPr>
        <w:t>8</w:t>
      </w:r>
      <w:r>
        <w:fldChar w:fldCharType="end"/>
      </w:r>
      <w:r>
        <w:t>: Rodzaj tagu w zależności od TPID [7].</w:t>
      </w:r>
    </w:p>
    <w:p w:rsidR="008D0160" w:rsidRDefault="008D0160" w:rsidP="008D016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53</w:t>
      </w:r>
      <w:r>
        <w:rPr>
          <w:rFonts w:ascii="Times New Roman" w:hAnsi="Times New Roman" w:cs="Times New Roman"/>
          <w:sz w:val="24"/>
          <w:szCs w:val="24"/>
        </w:rPr>
        <w:t>--</w:t>
      </w:r>
      <w:r w:rsidR="00A66647">
        <w:rPr>
          <w:rFonts w:ascii="Times New Roman" w:hAnsi="Times New Roman" w:cs="Times New Roman"/>
          <w:sz w:val="24"/>
          <w:szCs w:val="24"/>
        </w:rPr>
        <w:t xml:space="preserve"> </w:t>
      </w:r>
    </w:p>
    <w:p w:rsidR="00140449" w:rsidRPr="00A41E6D" w:rsidRDefault="00A41E6D" w:rsidP="003B3544">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sidR="003B3544">
        <w:rPr>
          <w:rFonts w:ascii="Times New Roman" w:hAnsi="Times New Roman" w:cs="Times New Roman"/>
          <w:sz w:val="24"/>
          <w:szCs w:val="24"/>
        </w:rPr>
        <w:br/>
      </w:r>
      <w:r>
        <w:rPr>
          <w:rFonts w:ascii="Times New Roman" w:hAnsi="Times New Roman" w:cs="Times New Roman"/>
          <w:sz w:val="24"/>
          <w:szCs w:val="24"/>
        </w:rP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t>
      </w:r>
      <w:r w:rsidR="001E6E60">
        <w:rPr>
          <w:rFonts w:ascii="Times New Roman" w:hAnsi="Times New Roman" w:cs="Times New Roman"/>
          <w:sz w:val="24"/>
          <w:szCs w:val="24"/>
        </w:rPr>
        <w:t>wdzone zostanie, czy za pomocą wybranego protokołu można nadać więcej niż jeden tag VLAN, czyli czy wspierają mechanizm IEEE 802.1 Q-in-Q zazwyczaj używany do nadania tagu VLAN przez dostawcę usługi (S-TAG).</w:t>
      </w:r>
    </w:p>
    <w:p w:rsidR="00FE12E7" w:rsidRPr="00FE12E7" w:rsidRDefault="00FE12E7" w:rsidP="00FE12E7">
      <w:pPr>
        <w:spacing w:after="0" w:line="240" w:lineRule="auto"/>
        <w:rPr>
          <w:rFonts w:ascii="Times New Roman" w:hAnsi="Times New Roman" w:cs="Times New Roman"/>
          <w:b/>
          <w:sz w:val="24"/>
          <w:szCs w:val="24"/>
        </w:rPr>
      </w:pPr>
    </w:p>
    <w:p w:rsidR="00FE12E7" w:rsidRDefault="00FE12E7" w:rsidP="00627BF7">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A66647" w:rsidRDefault="00A66647" w:rsidP="00A66647">
      <w:pPr>
        <w:spacing w:after="0" w:line="240" w:lineRule="auto"/>
        <w:rPr>
          <w:rFonts w:ascii="Times New Roman" w:hAnsi="Times New Roman" w:cs="Times New Roman"/>
          <w:b/>
          <w:sz w:val="24"/>
          <w:szCs w:val="24"/>
        </w:rPr>
      </w:pPr>
    </w:p>
    <w:p w:rsidR="005D6423" w:rsidRDefault="005D6423" w:rsidP="003B3544">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sidR="003B3544">
        <w:rPr>
          <w:rFonts w:ascii="Times New Roman" w:hAnsi="Times New Roman" w:cs="Times New Roman"/>
          <w:sz w:val="24"/>
          <w:szCs w:val="24"/>
        </w:rPr>
        <w:br/>
      </w:r>
      <w:r>
        <w:rPr>
          <w:rFonts w:ascii="Times New Roman" w:hAnsi="Times New Roman" w:cs="Times New Roman"/>
          <w:sz w:val="24"/>
          <w:szCs w:val="24"/>
        </w:rP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w:t>
      </w:r>
      <w:r w:rsidR="000500FD">
        <w:rPr>
          <w:rFonts w:ascii="Times New Roman" w:hAnsi="Times New Roman" w:cs="Times New Roman"/>
          <w:sz w:val="24"/>
          <w:szCs w:val="24"/>
        </w:rPr>
        <w:t xml:space="preserve"> [7]</w:t>
      </w:r>
      <w:r>
        <w:rPr>
          <w:rFonts w:ascii="Times New Roman" w:hAnsi="Times New Roman" w:cs="Times New Roman"/>
          <w:sz w:val="24"/>
          <w:szCs w:val="24"/>
        </w:rPr>
        <w:t>. W tym kryterium protokoły będą porównywane na podstawie ich możliwości do przypisywania pakietów do EVC na podstawie portów i na używając tagów VLAN.</w:t>
      </w:r>
    </w:p>
    <w:p w:rsidR="00A66647" w:rsidRPr="00A66647" w:rsidRDefault="00A66647" w:rsidP="00A66647">
      <w:pPr>
        <w:spacing w:after="0" w:line="240" w:lineRule="auto"/>
        <w:rPr>
          <w:rFonts w:ascii="Times New Roman" w:hAnsi="Times New Roman" w:cs="Times New Roman"/>
          <w:b/>
          <w:sz w:val="24"/>
          <w:szCs w:val="24"/>
        </w:rPr>
      </w:pPr>
    </w:p>
    <w:p w:rsidR="00FE12E7" w:rsidRDefault="00FE12E7" w:rsidP="00627BF7">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Definiowanie QoS</w:t>
      </w:r>
    </w:p>
    <w:p w:rsidR="000500FD" w:rsidRDefault="000500FD" w:rsidP="000500FD">
      <w:pPr>
        <w:spacing w:after="0" w:line="240" w:lineRule="auto"/>
        <w:rPr>
          <w:rFonts w:ascii="Times New Roman" w:hAnsi="Times New Roman" w:cs="Times New Roman"/>
          <w:b/>
          <w:sz w:val="24"/>
          <w:szCs w:val="24"/>
        </w:rPr>
      </w:pPr>
    </w:p>
    <w:p w:rsidR="000500FD" w:rsidRDefault="00CC076F" w:rsidP="003B3544">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 xml:space="preserve">czyli jakość usługi. Według standardu MEF termin ten odnosi się do </w:t>
      </w:r>
      <w:r w:rsidR="00CF1035">
        <w:rPr>
          <w:rFonts w:ascii="Times New Roman" w:hAnsi="Times New Roman" w:cs="Times New Roman"/>
          <w:sz w:val="24"/>
          <w:szCs w:val="24"/>
        </w:rPr>
        <w:t>wydajności dostarczania ramek usługi, co zostało zdefiniowane w SLS (</w:t>
      </w:r>
      <w:r w:rsidR="00CF1035">
        <w:rPr>
          <w:rFonts w:ascii="Times New Roman" w:hAnsi="Times New Roman" w:cs="Times New Roman"/>
          <w:i/>
          <w:sz w:val="24"/>
          <w:szCs w:val="24"/>
        </w:rPr>
        <w:t>Service Level Specification</w:t>
      </w:r>
      <w:r w:rsidR="00CF1035">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4E4212" w:rsidRPr="009B2513" w:rsidRDefault="00CF1035" w:rsidP="003B3544">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traffic managemnt</w:t>
      </w:r>
      <w:r>
        <w:rPr>
          <w:rFonts w:ascii="Times New Roman" w:hAnsi="Times New Roman" w:cs="Times New Roman"/>
          <w:sz w:val="24"/>
          <w:szCs w:val="24"/>
        </w:rPr>
        <w:t xml:space="preserve">) czyli zbioru mechanizmów, narzędzi i polityk używanych przez dostawcę usługi. </w:t>
      </w:r>
      <w:r w:rsidR="004E4212">
        <w:rPr>
          <w:rFonts w:ascii="Times New Roman" w:hAnsi="Times New Roman" w:cs="Times New Roman"/>
          <w:sz w:val="24"/>
          <w:szCs w:val="24"/>
        </w:rPr>
        <w:t>Jednym z mechanizmów używanych do uzyskania QoS są profile przepustowości (</w:t>
      </w:r>
      <w:r w:rsidR="004E4212">
        <w:rPr>
          <w:rFonts w:ascii="Times New Roman" w:hAnsi="Times New Roman" w:cs="Times New Roman"/>
          <w:i/>
          <w:sz w:val="24"/>
          <w:szCs w:val="24"/>
        </w:rPr>
        <w:t>Bandwidth profiles</w:t>
      </w:r>
      <w:r w:rsidR="004E4212">
        <w:rPr>
          <w:rFonts w:ascii="Times New Roman" w:hAnsi="Times New Roman" w:cs="Times New Roman"/>
          <w:sz w:val="24"/>
          <w:szCs w:val="24"/>
        </w:rPr>
        <w:t xml:space="preserve">). </w:t>
      </w:r>
      <w:r w:rsidR="009B2513">
        <w:rPr>
          <w:rFonts w:ascii="Times New Roman" w:hAnsi="Times New Roman" w:cs="Times New Roman"/>
          <w:sz w:val="24"/>
          <w:szCs w:val="24"/>
        </w:rPr>
        <w:t xml:space="preserve">Używane są one do ograniczenia obciążenia usługi </w:t>
      </w:r>
      <w:r w:rsidR="009B2513">
        <w:rPr>
          <w:rFonts w:ascii="Times New Roman" w:hAnsi="Times New Roman" w:cs="Times New Roman"/>
          <w:i/>
          <w:sz w:val="24"/>
          <w:szCs w:val="24"/>
        </w:rPr>
        <w:t>Carrier Ethernet.</w:t>
      </w:r>
    </w:p>
    <w:p w:rsidR="00CF1035" w:rsidRPr="00CC076F" w:rsidRDefault="00CF1035" w:rsidP="003B3544">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w:t>
      </w:r>
      <w:r w:rsidR="009B2513">
        <w:rPr>
          <w:rFonts w:ascii="Times New Roman" w:hAnsi="Times New Roman" w:cs="Times New Roman"/>
          <w:sz w:val="24"/>
          <w:szCs w:val="24"/>
        </w:rPr>
        <w:t xml:space="preserve"> głównie porównywane pod w</w:t>
      </w:r>
      <w:r>
        <w:rPr>
          <w:rFonts w:ascii="Times New Roman" w:hAnsi="Times New Roman" w:cs="Times New Roman"/>
          <w:sz w:val="24"/>
          <w:szCs w:val="24"/>
        </w:rPr>
        <w:t xml:space="preserve">zględem </w:t>
      </w:r>
      <w:r w:rsidR="009B2513">
        <w:rPr>
          <w:rFonts w:ascii="Times New Roman" w:hAnsi="Times New Roman" w:cs="Times New Roman"/>
          <w:sz w:val="24"/>
          <w:szCs w:val="24"/>
        </w:rPr>
        <w:t>stopnia implementacji profili przepustowości. Jeżeli któryś z protokołów będzie posiadał możliwość ustawienia jakiegoś parametru QoS, zostanie to porównane do możliwości drugiego protokołu w tym zakresie.</w:t>
      </w:r>
    </w:p>
    <w:p w:rsidR="000500FD" w:rsidRPr="000500FD" w:rsidRDefault="000500FD" w:rsidP="000500FD">
      <w:pPr>
        <w:spacing w:after="0" w:line="240" w:lineRule="auto"/>
        <w:rPr>
          <w:rFonts w:ascii="Times New Roman" w:hAnsi="Times New Roman" w:cs="Times New Roman"/>
          <w:b/>
          <w:sz w:val="24"/>
          <w:szCs w:val="24"/>
        </w:rPr>
      </w:pPr>
    </w:p>
    <w:p w:rsidR="00627BF7" w:rsidRDefault="00627BF7"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costam</w:t>
      </w:r>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B71D51">
        <w:rPr>
          <w:b w:val="0"/>
          <w:sz w:val="24"/>
          <w:szCs w:val="24"/>
        </w:rPr>
        <w:t>Paul Goransson, Chuck Black</w:t>
      </w:r>
      <w:r w:rsidR="00C5131E" w:rsidRPr="00B71D51">
        <w:rPr>
          <w:b w:val="0"/>
          <w:sz w:val="24"/>
          <w:szCs w:val="24"/>
        </w:rPr>
        <w:t>. Software Defined Networks: A Comprehensive Approach. Elsevier,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5"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16"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17"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hyperlink r:id="rId18" w:history="1">
        <w:r w:rsidR="005B0CF9" w:rsidRPr="0012061B">
          <w:rPr>
            <w:rStyle w:val="Hyperlink"/>
            <w:b w:val="0"/>
            <w:sz w:val="24"/>
            <w:szCs w:val="24"/>
            <w:lang w:val="en-US"/>
          </w:rPr>
          <w:t>https://tools.ietf.org/html/draft-pfaff-ovsdb-proto-00</w:t>
        </w:r>
      </w:hyperlink>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Pr="005B0CF9"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w:t>
      </w:r>
      <w:bookmarkStart w:id="0" w:name="_GoBack"/>
      <w:bookmarkEnd w:id="0"/>
      <w:r>
        <w:rPr>
          <w:b w:val="0"/>
          <w:sz w:val="24"/>
          <w:szCs w:val="24"/>
          <w:lang w:val="en-US"/>
        </w:rPr>
        <w:t>cations Inc., 2015.</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6"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7"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8"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8"/>
  </w:num>
  <w:num w:numId="2">
    <w:abstractNumId w:val="2"/>
  </w:num>
  <w:num w:numId="3">
    <w:abstractNumId w:val="3"/>
  </w:num>
  <w:num w:numId="4">
    <w:abstractNumId w:val="5"/>
  </w:num>
  <w:num w:numId="5">
    <w:abstractNumId w:val="1"/>
  </w:num>
  <w:num w:numId="6">
    <w:abstractNumId w:val="7"/>
  </w:num>
  <w:num w:numId="7">
    <w:abstractNumId w:val="4"/>
  </w:num>
  <w:num w:numId="8">
    <w:abstractNumId w:val="6"/>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500FD"/>
    <w:rsid w:val="000A10A0"/>
    <w:rsid w:val="000A4404"/>
    <w:rsid w:val="000B486C"/>
    <w:rsid w:val="001114F2"/>
    <w:rsid w:val="00140449"/>
    <w:rsid w:val="001A2D75"/>
    <w:rsid w:val="001B23A8"/>
    <w:rsid w:val="001E6E60"/>
    <w:rsid w:val="0024159A"/>
    <w:rsid w:val="00282E0B"/>
    <w:rsid w:val="003479EC"/>
    <w:rsid w:val="00355EBF"/>
    <w:rsid w:val="00393EEA"/>
    <w:rsid w:val="003A00F9"/>
    <w:rsid w:val="003B0FFF"/>
    <w:rsid w:val="003B3544"/>
    <w:rsid w:val="003C4141"/>
    <w:rsid w:val="003E045D"/>
    <w:rsid w:val="004625AB"/>
    <w:rsid w:val="004E4212"/>
    <w:rsid w:val="0053088A"/>
    <w:rsid w:val="005600BC"/>
    <w:rsid w:val="00566CA4"/>
    <w:rsid w:val="005A699B"/>
    <w:rsid w:val="005B0524"/>
    <w:rsid w:val="005B0CF9"/>
    <w:rsid w:val="005C2BEB"/>
    <w:rsid w:val="005C3111"/>
    <w:rsid w:val="005D4965"/>
    <w:rsid w:val="005D6423"/>
    <w:rsid w:val="006210E6"/>
    <w:rsid w:val="00627BF7"/>
    <w:rsid w:val="00635CB7"/>
    <w:rsid w:val="006574C4"/>
    <w:rsid w:val="00673626"/>
    <w:rsid w:val="00690CF3"/>
    <w:rsid w:val="006D059A"/>
    <w:rsid w:val="006F35DA"/>
    <w:rsid w:val="006F6C64"/>
    <w:rsid w:val="00710483"/>
    <w:rsid w:val="00716A24"/>
    <w:rsid w:val="007641C6"/>
    <w:rsid w:val="007D0EF0"/>
    <w:rsid w:val="007E334F"/>
    <w:rsid w:val="00850FF2"/>
    <w:rsid w:val="008D0160"/>
    <w:rsid w:val="008D4165"/>
    <w:rsid w:val="008D54EB"/>
    <w:rsid w:val="00956DC5"/>
    <w:rsid w:val="009574D0"/>
    <w:rsid w:val="009A249C"/>
    <w:rsid w:val="009A4FA8"/>
    <w:rsid w:val="009A657C"/>
    <w:rsid w:val="009B2513"/>
    <w:rsid w:val="00A20BA7"/>
    <w:rsid w:val="00A33658"/>
    <w:rsid w:val="00A41E6D"/>
    <w:rsid w:val="00A45A7B"/>
    <w:rsid w:val="00A6427E"/>
    <w:rsid w:val="00A66647"/>
    <w:rsid w:val="00A83BB6"/>
    <w:rsid w:val="00AD65E4"/>
    <w:rsid w:val="00B5749F"/>
    <w:rsid w:val="00B71D51"/>
    <w:rsid w:val="00B82A78"/>
    <w:rsid w:val="00BA43DB"/>
    <w:rsid w:val="00BB66B3"/>
    <w:rsid w:val="00C301B0"/>
    <w:rsid w:val="00C46DBF"/>
    <w:rsid w:val="00C5131E"/>
    <w:rsid w:val="00C9201B"/>
    <w:rsid w:val="00CC076F"/>
    <w:rsid w:val="00CF1035"/>
    <w:rsid w:val="00D05532"/>
    <w:rsid w:val="00D472A9"/>
    <w:rsid w:val="00D863F2"/>
    <w:rsid w:val="00E525F7"/>
    <w:rsid w:val="00ED0763"/>
    <w:rsid w:val="00F0007F"/>
    <w:rsid w:val="00F67449"/>
    <w:rsid w:val="00FC4311"/>
    <w:rsid w:val="00FE12E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tools.ietf.org/html/draft-pfaff-ovsdb-proto-00" TargetMode="Externa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www.sdxcentral.com/cloud/open-source/definitions/what-is-ovsdb/" TargetMode="External"/><Relationship Id="rId2" Type="http://schemas.openxmlformats.org/officeDocument/2006/relationships/numbering" Target="numbering.xml"/><Relationship Id="rId16" Type="http://schemas.openxmlformats.org/officeDocument/2006/relationships/hyperlink" Target="https://www.slideshare.net/rajdeep/openvswitch-deep-dive"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docs.openvswitch.org/en/latest/intro" TargetMode="Externa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6CA2D-7155-406A-8F66-6ABAE0A50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2975</TotalTime>
  <Pages>15</Pages>
  <Words>2785</Words>
  <Characters>16712</Characters>
  <Application>Microsoft Office Word</Application>
  <DocSecurity>0</DocSecurity>
  <Lines>139</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18</cp:revision>
  <dcterms:created xsi:type="dcterms:W3CDTF">2017-05-20T14:43:00Z</dcterms:created>
  <dcterms:modified xsi:type="dcterms:W3CDTF">2017-05-22T20:19:00Z</dcterms:modified>
</cp:coreProperties>
</file>